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326B" w14:textId="77777777" w:rsidR="00C021DC" w:rsidRPr="00C021DC" w:rsidRDefault="00C021DC" w:rsidP="00C021DC">
      <w:pPr>
        <w:shd w:val="clear" w:color="auto" w:fill="FFFFFF"/>
        <w:spacing w:after="0" w:line="242" w:lineRule="atLeast"/>
        <w:ind w:left="9"/>
        <w:rPr>
          <w:rFonts w:ascii="Calibri" w:eastAsia="Times New Roman" w:hAnsi="Calibri" w:cs="Times New Roman"/>
          <w:color w:val="000000"/>
        </w:rPr>
      </w:pPr>
      <w:r w:rsidRPr="00C021DC">
        <w:rPr>
          <w:rFonts w:ascii="Times New Roman" w:eastAsia="Times New Roman" w:hAnsi="Times New Roman" w:cs="Times New Roman"/>
          <w:b/>
          <w:bCs/>
          <w:i/>
          <w:iCs/>
          <w:color w:val="000000"/>
          <w:sz w:val="24"/>
          <w:szCs w:val="24"/>
        </w:rPr>
        <w:t>EXAMPLE ABSTRACT:  </w:t>
      </w:r>
    </w:p>
    <w:p w14:paraId="2FFA12B5" w14:textId="77777777" w:rsidR="00C021DC" w:rsidRPr="00C021DC" w:rsidRDefault="00C021DC" w:rsidP="00C021DC">
      <w:pPr>
        <w:shd w:val="clear" w:color="auto" w:fill="FFFFFF"/>
        <w:spacing w:after="0" w:line="242" w:lineRule="atLeast"/>
        <w:ind w:left="9" w:firstLine="261"/>
        <w:rPr>
          <w:rFonts w:ascii="Calibri" w:eastAsia="Times New Roman" w:hAnsi="Calibri" w:cs="Times New Roman"/>
          <w:color w:val="000000"/>
        </w:rPr>
      </w:pPr>
      <w:r w:rsidRPr="00C021DC">
        <w:rPr>
          <w:rFonts w:ascii="Times New Roman" w:eastAsia="Times New Roman" w:hAnsi="Times New Roman" w:cs="Times New Roman"/>
          <w:b/>
          <w:bCs/>
          <w:i/>
          <w:iCs/>
          <w:color w:val="000000"/>
          <w:sz w:val="24"/>
          <w:szCs w:val="24"/>
        </w:rPr>
        <w:t>Arial Narrow 10 FONT, single spaced, 0 paragraph spacing before and after, one line between header and body, Title case, Italicized scientific titles, Bold and * for presenter, No. for each location, Dr. with names, No street addresses, no email addresses :    </w:t>
      </w:r>
    </w:p>
    <w:p w14:paraId="27AC6972" w14:textId="77777777" w:rsidR="00C021DC" w:rsidRPr="00C021DC" w:rsidRDefault="00C021DC" w:rsidP="00C021DC">
      <w:pPr>
        <w:shd w:val="clear" w:color="auto" w:fill="FFFFFF"/>
        <w:spacing w:after="0" w:line="242" w:lineRule="atLeast"/>
        <w:ind w:left="9" w:firstLine="261"/>
        <w:rPr>
          <w:rFonts w:ascii="Calibri" w:eastAsia="Times New Roman" w:hAnsi="Calibri" w:cs="Times New Roman"/>
          <w:color w:val="000000"/>
        </w:rPr>
      </w:pPr>
      <w:r w:rsidRPr="00C021DC">
        <w:rPr>
          <w:rFonts w:ascii="Times New Roman" w:eastAsia="Times New Roman" w:hAnsi="Times New Roman" w:cs="Times New Roman"/>
          <w:b/>
          <w:bCs/>
          <w:i/>
          <w:iCs/>
          <w:color w:val="000000"/>
          <w:sz w:val="24"/>
          <w:szCs w:val="24"/>
        </w:rPr>
        <w:t>398 WORDS/2498 CHARACTERS WITH SPACING</w:t>
      </w:r>
    </w:p>
    <w:p w14:paraId="1C55FD07" w14:textId="77777777" w:rsidR="00C021DC" w:rsidRPr="00C021DC" w:rsidRDefault="00C021DC" w:rsidP="00C021DC">
      <w:pPr>
        <w:shd w:val="clear" w:color="auto" w:fill="FFFFFF"/>
        <w:spacing w:after="0" w:line="235" w:lineRule="atLeast"/>
        <w:ind w:left="45"/>
        <w:jc w:val="center"/>
        <w:rPr>
          <w:rFonts w:ascii="Calibri" w:eastAsia="Times New Roman" w:hAnsi="Calibri" w:cs="Times New Roman"/>
          <w:color w:val="000000"/>
        </w:rPr>
      </w:pPr>
      <w:r w:rsidRPr="00C021DC">
        <w:rPr>
          <w:rFonts w:ascii="Arial" w:eastAsia="Times New Roman" w:hAnsi="Arial" w:cs="Arial"/>
          <w:b/>
          <w:bCs/>
          <w:color w:val="000000"/>
          <w:sz w:val="20"/>
          <w:szCs w:val="20"/>
        </w:rPr>
        <w:t> </w:t>
      </w:r>
      <w:r w:rsidRPr="00C021DC">
        <w:rPr>
          <w:rFonts w:ascii="Calibri" w:eastAsia="Times New Roman" w:hAnsi="Calibri" w:cs="Times New Roman"/>
          <w:color w:val="000000"/>
        </w:rPr>
        <w:t> </w:t>
      </w:r>
    </w:p>
    <w:p w14:paraId="29D8BB61" w14:textId="77777777" w:rsidR="00C021DC" w:rsidRPr="00C021DC" w:rsidRDefault="00C021DC" w:rsidP="00C021DC">
      <w:pPr>
        <w:shd w:val="clear" w:color="auto" w:fill="FFFFFF"/>
        <w:spacing w:after="0" w:line="235" w:lineRule="atLeast"/>
        <w:ind w:left="77"/>
        <w:jc w:val="center"/>
        <w:rPr>
          <w:rFonts w:ascii="Calibri" w:eastAsia="Times New Roman" w:hAnsi="Calibri" w:cs="Times New Roman"/>
          <w:color w:val="000000"/>
        </w:rPr>
      </w:pPr>
      <w:r w:rsidRPr="00C021DC">
        <w:rPr>
          <w:rFonts w:ascii="Arial" w:eastAsia="Times New Roman" w:hAnsi="Arial" w:cs="Arial"/>
          <w:b/>
          <w:bCs/>
          <w:color w:val="000000"/>
          <w:sz w:val="20"/>
          <w:szCs w:val="20"/>
        </w:rPr>
        <w:t>Evaluation of the Effects of Polycyclic Aromatic Hydrocarbons (PAH) Contaminants on</w:t>
      </w:r>
    </w:p>
    <w:p w14:paraId="7A9936CD" w14:textId="77777777" w:rsidR="00C021DC" w:rsidRPr="00C021DC" w:rsidRDefault="00C021DC" w:rsidP="00C021DC">
      <w:pPr>
        <w:shd w:val="clear" w:color="auto" w:fill="FFFFFF"/>
        <w:spacing w:after="0" w:line="235" w:lineRule="atLeast"/>
        <w:ind w:left="1188"/>
        <w:rPr>
          <w:rFonts w:ascii="Calibri" w:eastAsia="Times New Roman" w:hAnsi="Calibri" w:cs="Times New Roman"/>
          <w:color w:val="000000"/>
        </w:rPr>
      </w:pPr>
      <w:proofErr w:type="spellStart"/>
      <w:r w:rsidRPr="00C021DC">
        <w:rPr>
          <w:rFonts w:ascii="Arial" w:eastAsia="Times New Roman" w:hAnsi="Arial" w:cs="Arial"/>
          <w:b/>
          <w:bCs/>
          <w:i/>
          <w:iCs/>
          <w:color w:val="000000"/>
          <w:sz w:val="20"/>
          <w:szCs w:val="20"/>
        </w:rPr>
        <w:t>Microgradus</w:t>
      </w:r>
      <w:proofErr w:type="spellEnd"/>
      <w:r w:rsidRPr="00C021DC">
        <w:rPr>
          <w:rFonts w:ascii="Arial" w:eastAsia="Times New Roman" w:hAnsi="Arial" w:cs="Arial"/>
          <w:b/>
          <w:bCs/>
          <w:i/>
          <w:iCs/>
          <w:color w:val="000000"/>
          <w:sz w:val="20"/>
          <w:szCs w:val="20"/>
        </w:rPr>
        <w:t xml:space="preserve"> tomcod’s (</w:t>
      </w:r>
      <w:r w:rsidRPr="00C021DC">
        <w:rPr>
          <w:rFonts w:ascii="Arial" w:eastAsia="Times New Roman" w:hAnsi="Arial" w:cs="Arial"/>
          <w:b/>
          <w:bCs/>
          <w:color w:val="000000"/>
          <w:sz w:val="20"/>
          <w:szCs w:val="20"/>
        </w:rPr>
        <w:t>Atlantic tomcod</w:t>
      </w:r>
      <w:r w:rsidRPr="00C021DC">
        <w:rPr>
          <w:rFonts w:ascii="Arial" w:eastAsia="Times New Roman" w:hAnsi="Arial" w:cs="Arial"/>
          <w:b/>
          <w:bCs/>
          <w:i/>
          <w:iCs/>
          <w:color w:val="000000"/>
          <w:sz w:val="20"/>
          <w:szCs w:val="20"/>
        </w:rPr>
        <w:t>) </w:t>
      </w:r>
      <w:r w:rsidRPr="00C021DC">
        <w:rPr>
          <w:rFonts w:ascii="Arial" w:eastAsia="Times New Roman" w:hAnsi="Arial" w:cs="Arial"/>
          <w:b/>
          <w:bCs/>
          <w:color w:val="000000"/>
          <w:sz w:val="20"/>
          <w:szCs w:val="20"/>
        </w:rPr>
        <w:t>Cytochrome 19A (CYP19A) Gene </w:t>
      </w:r>
      <w:r w:rsidRPr="00C021DC">
        <w:rPr>
          <w:rFonts w:ascii="Calibri" w:eastAsia="Times New Roman" w:hAnsi="Calibri" w:cs="Times New Roman"/>
          <w:color w:val="000000"/>
        </w:rPr>
        <w:t> </w:t>
      </w:r>
    </w:p>
    <w:p w14:paraId="62D84A03" w14:textId="77777777" w:rsidR="00C021DC" w:rsidRPr="00C021DC" w:rsidRDefault="00C021DC" w:rsidP="00C021DC">
      <w:pPr>
        <w:shd w:val="clear" w:color="auto" w:fill="FFFFFF"/>
        <w:spacing w:after="0" w:line="235" w:lineRule="atLeast"/>
        <w:ind w:left="10" w:right="104"/>
        <w:jc w:val="center"/>
        <w:rPr>
          <w:rFonts w:ascii="Calibri" w:eastAsia="Times New Roman" w:hAnsi="Calibri" w:cs="Times New Roman"/>
          <w:color w:val="000000"/>
        </w:rPr>
      </w:pPr>
      <w:r w:rsidRPr="00C021DC">
        <w:rPr>
          <w:rFonts w:ascii="Arial" w:eastAsia="Times New Roman" w:hAnsi="Arial" w:cs="Arial"/>
          <w:b/>
          <w:bCs/>
          <w:color w:val="000000"/>
          <w:sz w:val="20"/>
          <w:szCs w:val="20"/>
        </w:rPr>
        <w:t>Fred Smith</w:t>
      </w:r>
      <w:r w:rsidRPr="00C021DC">
        <w:rPr>
          <w:rFonts w:ascii="Arial" w:eastAsia="Times New Roman" w:hAnsi="Arial" w:cs="Arial"/>
          <w:color w:val="000000"/>
          <w:sz w:val="20"/>
          <w:szCs w:val="20"/>
          <w:vertAlign w:val="superscript"/>
        </w:rPr>
        <w:t>1</w:t>
      </w:r>
      <w:r w:rsidRPr="00C021DC">
        <w:rPr>
          <w:rFonts w:ascii="Arial" w:eastAsia="Times New Roman" w:hAnsi="Arial" w:cs="Arial"/>
          <w:b/>
          <w:bCs/>
          <w:color w:val="000000"/>
          <w:sz w:val="20"/>
          <w:szCs w:val="20"/>
          <w:vertAlign w:val="superscript"/>
        </w:rPr>
        <w:t>*</w:t>
      </w:r>
      <w:r w:rsidRPr="00C021DC">
        <w:rPr>
          <w:rFonts w:ascii="Arial" w:eastAsia="Times New Roman" w:hAnsi="Arial" w:cs="Arial"/>
          <w:b/>
          <w:bCs/>
          <w:color w:val="000000"/>
          <w:sz w:val="20"/>
          <w:szCs w:val="20"/>
        </w:rPr>
        <w:t>,</w:t>
      </w:r>
      <w:r w:rsidRPr="00C021DC">
        <w:rPr>
          <w:rFonts w:ascii="Arial" w:eastAsia="Times New Roman" w:hAnsi="Arial" w:cs="Arial"/>
          <w:color w:val="000000"/>
          <w:sz w:val="20"/>
          <w:szCs w:val="20"/>
          <w:vertAlign w:val="superscript"/>
        </w:rPr>
        <w:t> </w:t>
      </w:r>
      <w:r w:rsidRPr="00C021DC">
        <w:rPr>
          <w:rFonts w:ascii="Arial" w:eastAsia="Times New Roman" w:hAnsi="Arial" w:cs="Arial"/>
          <w:color w:val="000000"/>
          <w:sz w:val="20"/>
          <w:szCs w:val="20"/>
        </w:rPr>
        <w:t>Dr.</w:t>
      </w:r>
      <w:r w:rsidRPr="00C021DC">
        <w:rPr>
          <w:rFonts w:ascii="Arial" w:eastAsia="Times New Roman" w:hAnsi="Arial" w:cs="Arial"/>
          <w:color w:val="000000"/>
          <w:sz w:val="20"/>
          <w:szCs w:val="20"/>
          <w:vertAlign w:val="superscript"/>
        </w:rPr>
        <w:t> </w:t>
      </w:r>
      <w:r w:rsidRPr="00C021DC">
        <w:rPr>
          <w:rFonts w:ascii="Arial" w:eastAsia="Times New Roman" w:hAnsi="Arial" w:cs="Arial"/>
          <w:color w:val="000000"/>
          <w:sz w:val="20"/>
          <w:szCs w:val="20"/>
        </w:rPr>
        <w:t>Harry Jones</w:t>
      </w:r>
      <w:r w:rsidRPr="00C021DC">
        <w:rPr>
          <w:rFonts w:ascii="Arial" w:eastAsia="Times New Roman" w:hAnsi="Arial" w:cs="Arial"/>
          <w:color w:val="000000"/>
          <w:sz w:val="20"/>
          <w:szCs w:val="20"/>
          <w:vertAlign w:val="superscript"/>
        </w:rPr>
        <w:t>1</w:t>
      </w:r>
      <w:r w:rsidRPr="00C021DC">
        <w:rPr>
          <w:rFonts w:ascii="Arial" w:eastAsia="Times New Roman" w:hAnsi="Arial" w:cs="Arial"/>
          <w:color w:val="000000"/>
          <w:sz w:val="20"/>
          <w:szCs w:val="20"/>
        </w:rPr>
        <w:t>, Dr. Yan Chambers</w:t>
      </w:r>
      <w:r w:rsidRPr="00C021DC">
        <w:rPr>
          <w:rFonts w:ascii="Arial" w:eastAsia="Times New Roman" w:hAnsi="Arial" w:cs="Arial"/>
          <w:color w:val="000000"/>
          <w:sz w:val="20"/>
          <w:szCs w:val="20"/>
          <w:vertAlign w:val="superscript"/>
        </w:rPr>
        <w:t>2</w:t>
      </w:r>
      <w:r w:rsidRPr="00C021DC">
        <w:rPr>
          <w:rFonts w:ascii="Arial" w:eastAsia="Times New Roman" w:hAnsi="Arial" w:cs="Arial"/>
          <w:color w:val="000000"/>
          <w:sz w:val="20"/>
          <w:szCs w:val="20"/>
        </w:rPr>
        <w:t>, and Tom Smith</w:t>
      </w:r>
      <w:r w:rsidRPr="00C021DC">
        <w:rPr>
          <w:rFonts w:ascii="Arial" w:eastAsia="Times New Roman" w:hAnsi="Arial" w:cs="Arial"/>
          <w:color w:val="000000"/>
          <w:sz w:val="20"/>
          <w:szCs w:val="20"/>
          <w:vertAlign w:val="superscript"/>
        </w:rPr>
        <w:t>3</w:t>
      </w:r>
      <w:r w:rsidRPr="00C021DC">
        <w:rPr>
          <w:rFonts w:ascii="Arial" w:eastAsia="Times New Roman" w:hAnsi="Arial" w:cs="Arial"/>
          <w:color w:val="000000"/>
          <w:sz w:val="20"/>
          <w:szCs w:val="20"/>
        </w:rPr>
        <w:t> </w:t>
      </w:r>
      <w:r w:rsidRPr="00C021DC">
        <w:rPr>
          <w:rFonts w:ascii="Calibri" w:eastAsia="Times New Roman" w:hAnsi="Calibri" w:cs="Times New Roman"/>
          <w:color w:val="000000"/>
        </w:rPr>
        <w:t> </w:t>
      </w:r>
    </w:p>
    <w:p w14:paraId="1E9C3287" w14:textId="77777777" w:rsidR="00C021DC" w:rsidRPr="00C021DC" w:rsidRDefault="00C021DC" w:rsidP="00C021DC">
      <w:pPr>
        <w:shd w:val="clear" w:color="auto" w:fill="FFFFFF"/>
        <w:spacing w:after="0" w:line="235" w:lineRule="atLeast"/>
        <w:ind w:left="10" w:right="129"/>
        <w:jc w:val="center"/>
        <w:rPr>
          <w:rFonts w:ascii="Calibri" w:eastAsia="Times New Roman" w:hAnsi="Calibri" w:cs="Times New Roman"/>
          <w:color w:val="000000"/>
        </w:rPr>
      </w:pPr>
      <w:r w:rsidRPr="00C021DC">
        <w:rPr>
          <w:rFonts w:ascii="Arial" w:eastAsia="Times New Roman" w:hAnsi="Arial" w:cs="Arial"/>
          <w:color w:val="000000"/>
          <w:sz w:val="20"/>
          <w:szCs w:val="20"/>
          <w:vertAlign w:val="superscript"/>
        </w:rPr>
        <w:t>1</w:t>
      </w:r>
      <w:r w:rsidRPr="00C021DC">
        <w:rPr>
          <w:rFonts w:ascii="Arial" w:eastAsia="Times New Roman" w:hAnsi="Arial" w:cs="Arial"/>
          <w:b/>
          <w:bCs/>
          <w:color w:val="000000"/>
          <w:sz w:val="20"/>
          <w:szCs w:val="20"/>
          <w:vertAlign w:val="superscript"/>
        </w:rPr>
        <w:t>*</w:t>
      </w:r>
      <w:r w:rsidRPr="00C021DC">
        <w:rPr>
          <w:rFonts w:ascii="Arial" w:eastAsia="Times New Roman" w:hAnsi="Arial" w:cs="Arial"/>
          <w:color w:val="000000"/>
          <w:sz w:val="20"/>
          <w:szCs w:val="20"/>
        </w:rPr>
        <w:t>Department of Natural Science, University of Maryland, Eastern Shore, Princess Anne, MD 21853 </w:t>
      </w:r>
      <w:r w:rsidRPr="00C021DC">
        <w:rPr>
          <w:rFonts w:ascii="Calibri" w:eastAsia="Times New Roman" w:hAnsi="Calibri" w:cs="Times New Roman"/>
          <w:color w:val="000000"/>
        </w:rPr>
        <w:t> </w:t>
      </w:r>
    </w:p>
    <w:p w14:paraId="694B2BEC" w14:textId="77777777" w:rsidR="00C021DC" w:rsidRPr="00C021DC" w:rsidRDefault="00C021DC" w:rsidP="00C021DC">
      <w:pPr>
        <w:shd w:val="clear" w:color="auto" w:fill="FFFFFF"/>
        <w:spacing w:after="0" w:line="235" w:lineRule="atLeast"/>
        <w:ind w:left="10" w:right="111"/>
        <w:jc w:val="center"/>
        <w:rPr>
          <w:rFonts w:ascii="Calibri" w:eastAsia="Times New Roman" w:hAnsi="Calibri" w:cs="Times New Roman"/>
          <w:color w:val="000000"/>
        </w:rPr>
      </w:pPr>
      <w:r w:rsidRPr="00C021DC">
        <w:rPr>
          <w:rFonts w:ascii="Arial" w:eastAsia="Times New Roman" w:hAnsi="Arial" w:cs="Arial"/>
          <w:color w:val="000000"/>
          <w:sz w:val="20"/>
          <w:szCs w:val="20"/>
          <w:vertAlign w:val="superscript"/>
        </w:rPr>
        <w:t>2</w:t>
      </w:r>
      <w:r w:rsidRPr="00C021DC">
        <w:rPr>
          <w:rFonts w:ascii="Arial" w:eastAsia="Times New Roman" w:hAnsi="Arial" w:cs="Arial"/>
          <w:color w:val="000000"/>
          <w:sz w:val="20"/>
          <w:szCs w:val="20"/>
        </w:rPr>
        <w:t>Naca Sciences, Princeton, MA 11212 </w:t>
      </w:r>
      <w:r w:rsidRPr="00C021DC">
        <w:rPr>
          <w:rFonts w:ascii="Calibri" w:eastAsia="Times New Roman" w:hAnsi="Calibri" w:cs="Times New Roman"/>
          <w:color w:val="000000"/>
        </w:rPr>
        <w:t> </w:t>
      </w:r>
    </w:p>
    <w:p w14:paraId="03E0F67F" w14:textId="77777777" w:rsidR="00C021DC" w:rsidRPr="00C021DC" w:rsidRDefault="00C021DC" w:rsidP="00C021DC">
      <w:pPr>
        <w:shd w:val="clear" w:color="auto" w:fill="FFFFFF"/>
        <w:spacing w:after="0" w:line="235" w:lineRule="atLeast"/>
        <w:ind w:left="10" w:right="114"/>
        <w:jc w:val="center"/>
        <w:rPr>
          <w:rFonts w:ascii="Calibri" w:eastAsia="Times New Roman" w:hAnsi="Calibri" w:cs="Times New Roman"/>
          <w:color w:val="000000"/>
        </w:rPr>
      </w:pPr>
      <w:r w:rsidRPr="00C021DC">
        <w:rPr>
          <w:rFonts w:ascii="Arial" w:eastAsia="Times New Roman" w:hAnsi="Arial" w:cs="Arial"/>
          <w:color w:val="000000"/>
          <w:sz w:val="20"/>
          <w:szCs w:val="20"/>
          <w:vertAlign w:val="superscript"/>
        </w:rPr>
        <w:t>3</w:t>
      </w:r>
      <w:r w:rsidRPr="00C021DC">
        <w:rPr>
          <w:rFonts w:ascii="Arial" w:eastAsia="Times New Roman" w:hAnsi="Arial" w:cs="Arial"/>
          <w:color w:val="000000"/>
          <w:sz w:val="20"/>
          <w:szCs w:val="20"/>
        </w:rPr>
        <w:t>Center of Biotechnology, Baltimore, MD 21518. </w:t>
      </w:r>
      <w:r w:rsidRPr="00C021DC">
        <w:rPr>
          <w:rFonts w:ascii="Calibri" w:eastAsia="Times New Roman" w:hAnsi="Calibri" w:cs="Times New Roman"/>
          <w:color w:val="000000"/>
        </w:rPr>
        <w:t> </w:t>
      </w:r>
    </w:p>
    <w:p w14:paraId="685D1FFB" w14:textId="77777777" w:rsidR="00C021DC" w:rsidRPr="00C021DC" w:rsidRDefault="00C021DC" w:rsidP="00C021DC">
      <w:pPr>
        <w:shd w:val="clear" w:color="auto" w:fill="FFFFFF"/>
        <w:spacing w:after="0" w:line="235" w:lineRule="atLeast"/>
        <w:ind w:left="14"/>
        <w:rPr>
          <w:rFonts w:ascii="Calibri" w:eastAsia="Times New Roman" w:hAnsi="Calibri" w:cs="Times New Roman"/>
          <w:color w:val="000000"/>
        </w:rPr>
      </w:pPr>
      <w:r w:rsidRPr="00C021DC">
        <w:rPr>
          <w:rFonts w:ascii="Arial" w:eastAsia="Times New Roman" w:hAnsi="Arial" w:cs="Arial"/>
          <w:color w:val="000000"/>
          <w:sz w:val="20"/>
          <w:szCs w:val="20"/>
        </w:rPr>
        <w:t> </w:t>
      </w:r>
      <w:r w:rsidRPr="00C021DC">
        <w:rPr>
          <w:rFonts w:ascii="Calibri" w:eastAsia="Times New Roman" w:hAnsi="Calibri" w:cs="Times New Roman"/>
          <w:color w:val="000000"/>
        </w:rPr>
        <w:t> </w:t>
      </w:r>
    </w:p>
    <w:p w14:paraId="57A0C2B7" w14:textId="77777777" w:rsidR="00C021DC" w:rsidRPr="00C021DC" w:rsidRDefault="00C021DC" w:rsidP="00C021DC">
      <w:pPr>
        <w:shd w:val="clear" w:color="auto" w:fill="FFFFFF"/>
        <w:spacing w:after="60" w:line="240" w:lineRule="auto"/>
        <w:ind w:left="14" w:right="120"/>
        <w:jc w:val="both"/>
        <w:rPr>
          <w:rFonts w:ascii="Calibri" w:eastAsia="Times New Roman" w:hAnsi="Calibri" w:cs="Times New Roman"/>
          <w:color w:val="000000"/>
        </w:rPr>
      </w:pPr>
      <w:r w:rsidRPr="00C021DC">
        <w:rPr>
          <w:rFonts w:ascii="Arial" w:eastAsia="Times New Roman" w:hAnsi="Arial" w:cs="Arial"/>
          <w:color w:val="000000"/>
          <w:sz w:val="20"/>
          <w:szCs w:val="20"/>
        </w:rPr>
        <w:t>Cytochrome 19A (CYP19A) genes are recognized as useful biomarkers of exposure of fish to environmental contaminants such as PAHs and PCBs. In this study an experimental laboratory approach by using </w:t>
      </w:r>
      <w:proofErr w:type="spellStart"/>
      <w:r w:rsidRPr="00C021DC">
        <w:rPr>
          <w:rFonts w:ascii="Arial" w:eastAsia="Times New Roman" w:hAnsi="Arial" w:cs="Arial"/>
          <w:i/>
          <w:iCs/>
          <w:color w:val="000000"/>
          <w:sz w:val="20"/>
          <w:szCs w:val="20"/>
        </w:rPr>
        <w:t>Microgradus</w:t>
      </w:r>
      <w:proofErr w:type="spellEnd"/>
      <w:r w:rsidRPr="00C021DC">
        <w:rPr>
          <w:rFonts w:ascii="Arial" w:eastAsia="Times New Roman" w:hAnsi="Arial" w:cs="Arial"/>
          <w:i/>
          <w:iCs/>
          <w:color w:val="000000"/>
          <w:sz w:val="20"/>
          <w:szCs w:val="20"/>
        </w:rPr>
        <w:t xml:space="preserve"> tomcod (</w:t>
      </w:r>
      <w:r w:rsidRPr="00C021DC">
        <w:rPr>
          <w:rFonts w:ascii="Arial" w:eastAsia="Times New Roman" w:hAnsi="Arial" w:cs="Arial"/>
          <w:color w:val="000000"/>
          <w:sz w:val="20"/>
          <w:szCs w:val="20"/>
        </w:rPr>
        <w:t>Atlantic tomcod)</w:t>
      </w:r>
      <w:r w:rsidRPr="00C021DC">
        <w:rPr>
          <w:rFonts w:ascii="Arial" w:eastAsia="Times New Roman" w:hAnsi="Arial" w:cs="Arial"/>
          <w:i/>
          <w:iCs/>
          <w:color w:val="000000"/>
          <w:sz w:val="20"/>
          <w:szCs w:val="20"/>
        </w:rPr>
        <w:t> </w:t>
      </w:r>
      <w:r w:rsidRPr="00C021DC">
        <w:rPr>
          <w:rFonts w:ascii="Arial" w:eastAsia="Times New Roman" w:hAnsi="Arial" w:cs="Arial"/>
          <w:color w:val="000000"/>
          <w:sz w:val="20"/>
          <w:szCs w:val="20"/>
        </w:rPr>
        <w:t>from Sanford River was used to evaluate the additive or interactive effects of PAH and PCB chemicals. A combined treatment of PCB 77 and PAH did not show and additive effect in low level as well as high level of treatment. In this study an experimental laboratory approach by using </w:t>
      </w:r>
      <w:proofErr w:type="spellStart"/>
      <w:r w:rsidRPr="00C021DC">
        <w:rPr>
          <w:rFonts w:ascii="Arial" w:eastAsia="Times New Roman" w:hAnsi="Arial" w:cs="Arial"/>
          <w:i/>
          <w:iCs/>
          <w:color w:val="000000"/>
          <w:sz w:val="20"/>
          <w:szCs w:val="20"/>
        </w:rPr>
        <w:t>Microgradus</w:t>
      </w:r>
      <w:proofErr w:type="spellEnd"/>
      <w:r w:rsidRPr="00C021DC">
        <w:rPr>
          <w:rFonts w:ascii="Arial" w:eastAsia="Times New Roman" w:hAnsi="Arial" w:cs="Arial"/>
          <w:i/>
          <w:iCs/>
          <w:color w:val="000000"/>
          <w:sz w:val="20"/>
          <w:szCs w:val="20"/>
        </w:rPr>
        <w:t xml:space="preserve"> tomcod (</w:t>
      </w:r>
      <w:r w:rsidRPr="00C021DC">
        <w:rPr>
          <w:rFonts w:ascii="Arial" w:eastAsia="Times New Roman" w:hAnsi="Arial" w:cs="Arial"/>
          <w:color w:val="000000"/>
          <w:sz w:val="20"/>
          <w:szCs w:val="20"/>
        </w:rPr>
        <w:t>Atlantic tomcod)</w:t>
      </w:r>
      <w:r w:rsidRPr="00C021DC">
        <w:rPr>
          <w:rFonts w:ascii="Arial" w:eastAsia="Times New Roman" w:hAnsi="Arial" w:cs="Arial"/>
          <w:i/>
          <w:iCs/>
          <w:color w:val="000000"/>
          <w:sz w:val="20"/>
          <w:szCs w:val="20"/>
        </w:rPr>
        <w:t> </w:t>
      </w:r>
      <w:r w:rsidRPr="00C021DC">
        <w:rPr>
          <w:rFonts w:ascii="Arial" w:eastAsia="Times New Roman" w:hAnsi="Arial" w:cs="Arial"/>
          <w:color w:val="000000"/>
          <w:sz w:val="20"/>
          <w:szCs w:val="20"/>
        </w:rPr>
        <w:t>from Sanford River was used to evaluate the additive or interactive effects of PAH and PCB chemicals. A combined treatment of PCB 77 and PAH did not show and additive effect in low level as well as high level of treatment. Cytochrome 19A (CYP19A) gens are recognized as useful biomarkers of exposure of fish to environmental contaminants such as PAHs and PCBs. In this study an experimental laboratory approach by using </w:t>
      </w:r>
      <w:proofErr w:type="spellStart"/>
      <w:r w:rsidRPr="00C021DC">
        <w:rPr>
          <w:rFonts w:ascii="Arial" w:eastAsia="Times New Roman" w:hAnsi="Arial" w:cs="Arial"/>
          <w:i/>
          <w:iCs/>
          <w:color w:val="000000"/>
          <w:sz w:val="20"/>
          <w:szCs w:val="20"/>
        </w:rPr>
        <w:t>Microgradus</w:t>
      </w:r>
      <w:proofErr w:type="spellEnd"/>
      <w:r w:rsidRPr="00C021DC">
        <w:rPr>
          <w:rFonts w:ascii="Arial" w:eastAsia="Times New Roman" w:hAnsi="Arial" w:cs="Arial"/>
          <w:i/>
          <w:iCs/>
          <w:color w:val="000000"/>
          <w:sz w:val="20"/>
          <w:szCs w:val="20"/>
        </w:rPr>
        <w:t xml:space="preserve"> tomcod (</w:t>
      </w:r>
      <w:r w:rsidRPr="00C021DC">
        <w:rPr>
          <w:rFonts w:ascii="Arial" w:eastAsia="Times New Roman" w:hAnsi="Arial" w:cs="Arial"/>
          <w:color w:val="000000"/>
          <w:sz w:val="20"/>
          <w:szCs w:val="20"/>
        </w:rPr>
        <w:t>Atlantic tomcod)</w:t>
      </w:r>
      <w:r w:rsidRPr="00C021DC">
        <w:rPr>
          <w:rFonts w:ascii="Arial" w:eastAsia="Times New Roman" w:hAnsi="Arial" w:cs="Arial"/>
          <w:i/>
          <w:iCs/>
          <w:color w:val="000000"/>
          <w:sz w:val="20"/>
          <w:szCs w:val="20"/>
        </w:rPr>
        <w:t> </w:t>
      </w:r>
      <w:r w:rsidRPr="00C021DC">
        <w:rPr>
          <w:rFonts w:ascii="Arial" w:eastAsia="Times New Roman" w:hAnsi="Arial" w:cs="Arial"/>
          <w:color w:val="000000"/>
          <w:sz w:val="20"/>
          <w:szCs w:val="20"/>
        </w:rPr>
        <w:t>from Sanford River was used to evaluate the additive or interactive effects of PAH and PCB chemicals. A combined treatment of PCB 77 and PAH did not show and additive effect in low level as well as high level of treatment. Cytochrome 19A (CYP19A) gens are recognized as useful biomarkers of exposure of fish to environmental contaminants such as PAHs and PCBs. In this study an experimental laboratory approach by using </w:t>
      </w:r>
      <w:proofErr w:type="spellStart"/>
      <w:r w:rsidRPr="00C021DC">
        <w:rPr>
          <w:rFonts w:ascii="Arial" w:eastAsia="Times New Roman" w:hAnsi="Arial" w:cs="Arial"/>
          <w:i/>
          <w:iCs/>
          <w:color w:val="000000"/>
          <w:sz w:val="20"/>
          <w:szCs w:val="20"/>
        </w:rPr>
        <w:t>Microgradus</w:t>
      </w:r>
      <w:proofErr w:type="spellEnd"/>
      <w:r w:rsidRPr="00C021DC">
        <w:rPr>
          <w:rFonts w:ascii="Arial" w:eastAsia="Times New Roman" w:hAnsi="Arial" w:cs="Arial"/>
          <w:i/>
          <w:iCs/>
          <w:color w:val="000000"/>
          <w:sz w:val="20"/>
          <w:szCs w:val="20"/>
        </w:rPr>
        <w:t xml:space="preserve"> tomcod (</w:t>
      </w:r>
      <w:r w:rsidRPr="00C021DC">
        <w:rPr>
          <w:rFonts w:ascii="Arial" w:eastAsia="Times New Roman" w:hAnsi="Arial" w:cs="Arial"/>
          <w:color w:val="000000"/>
          <w:sz w:val="20"/>
          <w:szCs w:val="20"/>
        </w:rPr>
        <w:t>Atlantic tomcod)</w:t>
      </w:r>
      <w:r w:rsidRPr="00C021DC">
        <w:rPr>
          <w:rFonts w:ascii="Arial" w:eastAsia="Times New Roman" w:hAnsi="Arial" w:cs="Arial"/>
          <w:i/>
          <w:iCs/>
          <w:color w:val="000000"/>
          <w:sz w:val="20"/>
          <w:szCs w:val="20"/>
        </w:rPr>
        <w:t> </w:t>
      </w:r>
      <w:r w:rsidRPr="00C021DC">
        <w:rPr>
          <w:rFonts w:ascii="Arial" w:eastAsia="Times New Roman" w:hAnsi="Arial" w:cs="Arial"/>
          <w:color w:val="000000"/>
          <w:sz w:val="20"/>
          <w:szCs w:val="20"/>
        </w:rPr>
        <w:t>from Sanford River was used to evaluate the additive or interactive effects of PAH and PCB chemicals. A combined treatment of PCB 77 and PAH did not show and additive effect. Cytochrome 19A (CYP19A) gens are recognized as useful biomarkers of exposure of fish to environmental contaminants such as PAHs and PCBs. In this study an experimental laboratory approach by using </w:t>
      </w:r>
      <w:proofErr w:type="spellStart"/>
      <w:r w:rsidRPr="00C021DC">
        <w:rPr>
          <w:rFonts w:ascii="Arial" w:eastAsia="Times New Roman" w:hAnsi="Arial" w:cs="Arial"/>
          <w:i/>
          <w:iCs/>
          <w:color w:val="000000"/>
          <w:sz w:val="20"/>
          <w:szCs w:val="20"/>
        </w:rPr>
        <w:t>Microgradus</w:t>
      </w:r>
      <w:proofErr w:type="spellEnd"/>
      <w:r w:rsidRPr="00C021DC">
        <w:rPr>
          <w:rFonts w:ascii="Arial" w:eastAsia="Times New Roman" w:hAnsi="Arial" w:cs="Arial"/>
          <w:i/>
          <w:iCs/>
          <w:color w:val="000000"/>
          <w:sz w:val="20"/>
          <w:szCs w:val="20"/>
        </w:rPr>
        <w:t xml:space="preserve"> tomcod (</w:t>
      </w:r>
      <w:r w:rsidRPr="00C021DC">
        <w:rPr>
          <w:rFonts w:ascii="Arial" w:eastAsia="Times New Roman" w:hAnsi="Arial" w:cs="Arial"/>
          <w:color w:val="000000"/>
          <w:sz w:val="20"/>
          <w:szCs w:val="20"/>
        </w:rPr>
        <w:t>Atlantic tomcod)</w:t>
      </w:r>
      <w:r w:rsidRPr="00C021DC">
        <w:rPr>
          <w:rFonts w:ascii="Arial" w:eastAsia="Times New Roman" w:hAnsi="Arial" w:cs="Arial"/>
          <w:i/>
          <w:iCs/>
          <w:color w:val="000000"/>
          <w:sz w:val="20"/>
          <w:szCs w:val="20"/>
        </w:rPr>
        <w:t> </w:t>
      </w:r>
      <w:r w:rsidRPr="00C021DC">
        <w:rPr>
          <w:rFonts w:ascii="Arial" w:eastAsia="Times New Roman" w:hAnsi="Arial" w:cs="Arial"/>
          <w:color w:val="000000"/>
          <w:sz w:val="20"/>
          <w:szCs w:val="20"/>
        </w:rPr>
        <w:t>from Sanford River was used to evaluate the additive or interactive effects of PAH and PCB chemicals. A combined treatment of PCB 77 and PAH did not show and additive effect in low level as well as high level of treatment.  </w:t>
      </w:r>
      <w:r w:rsidRPr="00C021DC">
        <w:rPr>
          <w:rFonts w:ascii="Calibri" w:eastAsia="Times New Roman" w:hAnsi="Calibri" w:cs="Times New Roman"/>
          <w:color w:val="000000"/>
        </w:rPr>
        <w:t> </w:t>
      </w:r>
    </w:p>
    <w:p w14:paraId="4D5ABAD9" w14:textId="77777777" w:rsidR="00A01C5D" w:rsidRDefault="00A01C5D"/>
    <w:sectPr w:rsidR="00A01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1DC"/>
    <w:rsid w:val="00A01C5D"/>
    <w:rsid w:val="00BA1102"/>
    <w:rsid w:val="00C021DC"/>
    <w:rsid w:val="00E50575"/>
    <w:rsid w:val="00ED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E53D"/>
  <w15:chartTrackingRefBased/>
  <w15:docId w15:val="{0785A6CD-E14E-4996-A4FD-65A67054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Lakeisha L</dc:creator>
  <cp:keywords/>
  <dc:description/>
  <cp:lastModifiedBy>Endicott, Kelsie J</cp:lastModifiedBy>
  <cp:revision>2</cp:revision>
  <dcterms:created xsi:type="dcterms:W3CDTF">2024-02-22T00:00:00Z</dcterms:created>
  <dcterms:modified xsi:type="dcterms:W3CDTF">2024-02-22T00:00:00Z</dcterms:modified>
</cp:coreProperties>
</file>